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4853F0" w14:textId="77777777" w:rsidR="00C7776A" w:rsidRPr="00A23C91" w:rsidRDefault="00C7776A" w:rsidP="00C7776A">
      <w:pPr>
        <w:pStyle w:val="MDPI12title"/>
        <w:spacing w:after="0" w:line="240" w:lineRule="auto"/>
        <w:rPr>
          <w:rFonts w:ascii="Calibri" w:hAnsi="Calibri" w:cs="Calibri"/>
          <w:color w:val="000000" w:themeColor="text1"/>
          <w:sz w:val="32"/>
          <w:szCs w:val="32"/>
        </w:rPr>
      </w:pPr>
      <w:r w:rsidRPr="00A23C91">
        <w:rPr>
          <w:rFonts w:ascii="Calibri" w:hAnsi="Calibri" w:cs="Calibri"/>
          <w:color w:val="000000" w:themeColor="text1"/>
          <w:sz w:val="32"/>
          <w:szCs w:val="32"/>
        </w:rPr>
        <w:t xml:space="preserve">Transcriptional Waves Induced by ATP and LPS in Primary </w:t>
      </w:r>
    </w:p>
    <w:p w14:paraId="5BC91ACB" w14:textId="77777777" w:rsidR="00C7776A" w:rsidRPr="00A23C91" w:rsidRDefault="00C7776A" w:rsidP="00C7776A">
      <w:pPr>
        <w:pStyle w:val="MDPI12title"/>
        <w:spacing w:after="0" w:line="240" w:lineRule="auto"/>
        <w:rPr>
          <w:rFonts w:ascii="Calibri" w:hAnsi="Calibri" w:cs="Calibri"/>
          <w:color w:val="000000" w:themeColor="text1"/>
          <w:sz w:val="32"/>
          <w:szCs w:val="32"/>
        </w:rPr>
      </w:pPr>
      <w:r w:rsidRPr="00A23C91">
        <w:rPr>
          <w:rFonts w:ascii="Calibri" w:hAnsi="Calibri" w:cs="Calibri"/>
          <w:color w:val="000000" w:themeColor="text1"/>
          <w:sz w:val="32"/>
          <w:szCs w:val="32"/>
        </w:rPr>
        <w:t>Microglial Culture Reveal Multiple Inflammatory States</w:t>
      </w:r>
    </w:p>
    <w:p w14:paraId="2AC60184" w14:textId="77777777" w:rsidR="00A77628" w:rsidRPr="004D76BB" w:rsidRDefault="00A77628" w:rsidP="00C7776A">
      <w:pPr>
        <w:spacing w:after="120" w:line="360" w:lineRule="auto"/>
        <w:rPr>
          <w:b/>
          <w:color w:val="000000" w:themeColor="text1"/>
          <w:sz w:val="28"/>
          <w:szCs w:val="28"/>
        </w:rPr>
      </w:pPr>
    </w:p>
    <w:p w14:paraId="0934E5D8" w14:textId="77777777" w:rsidR="00A77628" w:rsidRPr="004D76BB" w:rsidRDefault="00A77628" w:rsidP="00A77628">
      <w:pPr>
        <w:spacing w:after="120" w:line="360" w:lineRule="auto"/>
        <w:jc w:val="both"/>
        <w:rPr>
          <w:color w:val="000000" w:themeColor="text1"/>
          <w:vertAlign w:val="superscript"/>
        </w:rPr>
      </w:pPr>
      <w:r w:rsidRPr="004D76BB">
        <w:rPr>
          <w:color w:val="000000" w:themeColor="text1"/>
        </w:rPr>
        <w:t>Keren Zohar</w:t>
      </w:r>
      <w:r w:rsidRPr="004D76BB">
        <w:rPr>
          <w:color w:val="000000" w:themeColor="text1"/>
          <w:vertAlign w:val="superscript"/>
        </w:rPr>
        <w:t>1*</w:t>
      </w:r>
      <w:r w:rsidRPr="004D76BB">
        <w:rPr>
          <w:color w:val="000000" w:themeColor="text1"/>
        </w:rPr>
        <w:t xml:space="preserve">, </w:t>
      </w:r>
      <w:proofErr w:type="spellStart"/>
      <w:r w:rsidRPr="004D76BB">
        <w:rPr>
          <w:color w:val="000000" w:themeColor="text1"/>
        </w:rPr>
        <w:t>Elyad</w:t>
      </w:r>
      <w:proofErr w:type="spellEnd"/>
      <w:r w:rsidRPr="004D76BB">
        <w:rPr>
          <w:color w:val="000000" w:themeColor="text1"/>
        </w:rPr>
        <w:t xml:space="preserve"> Lezmi</w:t>
      </w:r>
      <w:r w:rsidRPr="004D76BB">
        <w:rPr>
          <w:color w:val="000000" w:themeColor="text1"/>
          <w:vertAlign w:val="superscript"/>
        </w:rPr>
        <w:t>2*</w:t>
      </w:r>
      <w:r w:rsidRPr="004D76BB">
        <w:rPr>
          <w:color w:val="000000" w:themeColor="text1"/>
        </w:rPr>
        <w:t>, Fanny Reichert</w:t>
      </w:r>
      <w:r w:rsidRPr="004D76BB">
        <w:rPr>
          <w:color w:val="000000" w:themeColor="text1"/>
          <w:vertAlign w:val="superscript"/>
        </w:rPr>
        <w:t>3</w:t>
      </w:r>
      <w:r w:rsidRPr="004D76BB">
        <w:rPr>
          <w:color w:val="000000" w:themeColor="text1"/>
        </w:rPr>
        <w:t xml:space="preserve">, </w:t>
      </w:r>
      <w:proofErr w:type="spellStart"/>
      <w:r w:rsidRPr="004D76BB">
        <w:rPr>
          <w:color w:val="000000" w:themeColor="text1"/>
        </w:rPr>
        <w:t>Tsiona</w:t>
      </w:r>
      <w:proofErr w:type="spellEnd"/>
      <w:r w:rsidRPr="004D76BB">
        <w:rPr>
          <w:color w:val="000000" w:themeColor="text1"/>
        </w:rPr>
        <w:t xml:space="preserve"> Eliyahu</w:t>
      </w:r>
      <w:r w:rsidRPr="004D76BB">
        <w:rPr>
          <w:color w:val="000000" w:themeColor="text1"/>
          <w:vertAlign w:val="superscript"/>
        </w:rPr>
        <w:t>1</w:t>
      </w:r>
      <w:r w:rsidRPr="004D76BB">
        <w:rPr>
          <w:color w:val="000000" w:themeColor="text1"/>
        </w:rPr>
        <w:t xml:space="preserve">, </w:t>
      </w:r>
      <w:proofErr w:type="spellStart"/>
      <w:r w:rsidRPr="004D76BB">
        <w:rPr>
          <w:color w:val="000000" w:themeColor="text1"/>
        </w:rPr>
        <w:t>Shlomo</w:t>
      </w:r>
      <w:proofErr w:type="spellEnd"/>
      <w:r w:rsidRPr="004D76BB">
        <w:rPr>
          <w:color w:val="000000" w:themeColor="text1"/>
        </w:rPr>
        <w:t xml:space="preserve"> Rotshenker</w:t>
      </w:r>
      <w:r w:rsidRPr="004D76BB">
        <w:rPr>
          <w:color w:val="000000" w:themeColor="text1"/>
          <w:vertAlign w:val="superscript"/>
        </w:rPr>
        <w:t>3</w:t>
      </w:r>
      <w:r w:rsidRPr="004D76BB">
        <w:rPr>
          <w:color w:val="000000" w:themeColor="text1"/>
        </w:rPr>
        <w:t>, Marta Weinstock</w:t>
      </w:r>
      <w:r w:rsidRPr="004D76BB">
        <w:rPr>
          <w:color w:val="000000" w:themeColor="text1"/>
          <w:vertAlign w:val="superscript"/>
        </w:rPr>
        <w:t>4</w:t>
      </w:r>
      <w:r w:rsidRPr="004D76BB">
        <w:rPr>
          <w:color w:val="000000" w:themeColor="text1"/>
        </w:rPr>
        <w:t>, Michal Linial</w:t>
      </w:r>
      <w:r w:rsidRPr="004D76BB">
        <w:rPr>
          <w:color w:val="000000" w:themeColor="text1"/>
          <w:vertAlign w:val="superscript"/>
        </w:rPr>
        <w:t>1</w:t>
      </w:r>
      <w:r>
        <w:rPr>
          <w:color w:val="000000" w:themeColor="text1"/>
          <w:vertAlign w:val="superscript"/>
        </w:rPr>
        <w:t>#</w:t>
      </w:r>
    </w:p>
    <w:p w14:paraId="4D624E7C" w14:textId="77777777" w:rsidR="00A77628" w:rsidRPr="004D76BB" w:rsidRDefault="00A77628" w:rsidP="00A77628">
      <w:pPr>
        <w:spacing w:after="120" w:line="360" w:lineRule="auto"/>
        <w:jc w:val="both"/>
        <w:rPr>
          <w:color w:val="000000" w:themeColor="text1"/>
        </w:rPr>
      </w:pPr>
    </w:p>
    <w:p w14:paraId="4F69BBAB" w14:textId="77777777" w:rsidR="00A77628" w:rsidRPr="00175261" w:rsidRDefault="00A77628" w:rsidP="00A77628">
      <w:pPr>
        <w:spacing w:line="360" w:lineRule="auto"/>
        <w:jc w:val="both"/>
        <w:rPr>
          <w:b/>
          <w:bCs/>
          <w:color w:val="000000" w:themeColor="text1"/>
        </w:rPr>
      </w:pPr>
      <w:r w:rsidRPr="00175261">
        <w:rPr>
          <w:b/>
          <w:bCs/>
          <w:color w:val="000000" w:themeColor="text1"/>
        </w:rPr>
        <w:t>Supplementary Tables</w:t>
      </w:r>
      <w:r>
        <w:rPr>
          <w:b/>
          <w:bCs/>
          <w:color w:val="000000" w:themeColor="text1"/>
        </w:rPr>
        <w:t>:</w:t>
      </w:r>
      <w:r w:rsidRPr="00175261">
        <w:rPr>
          <w:b/>
          <w:bCs/>
          <w:color w:val="000000" w:themeColor="text1"/>
        </w:rPr>
        <w:t xml:space="preserve"> </w:t>
      </w:r>
    </w:p>
    <w:p w14:paraId="26517A0C" w14:textId="77777777" w:rsidR="00A77628" w:rsidRPr="00175261" w:rsidRDefault="00A77628" w:rsidP="00A77628">
      <w:pPr>
        <w:pStyle w:val="ListParagraph"/>
        <w:numPr>
          <w:ilvl w:val="0"/>
          <w:numId w:val="1"/>
        </w:numPr>
        <w:spacing w:line="360" w:lineRule="auto"/>
        <w:jc w:val="both"/>
        <w:rPr>
          <w:color w:val="000000" w:themeColor="text1"/>
        </w:rPr>
      </w:pPr>
      <w:r w:rsidRPr="00175261">
        <w:rPr>
          <w:color w:val="000000" w:themeColor="text1"/>
        </w:rPr>
        <w:t>Table S1: RNA-</w:t>
      </w:r>
      <w:proofErr w:type="spellStart"/>
      <w:r w:rsidRPr="00175261">
        <w:rPr>
          <w:color w:val="000000" w:themeColor="text1"/>
        </w:rPr>
        <w:t>seq</w:t>
      </w:r>
      <w:proofErr w:type="spellEnd"/>
      <w:r w:rsidRPr="00175261">
        <w:rPr>
          <w:color w:val="000000" w:themeColor="text1"/>
        </w:rPr>
        <w:t xml:space="preserve"> results for </w:t>
      </w:r>
      <w:proofErr w:type="spellStart"/>
      <w:r w:rsidRPr="00175261">
        <w:rPr>
          <w:color w:val="000000" w:themeColor="text1"/>
        </w:rPr>
        <w:t>bzATP</w:t>
      </w:r>
      <w:proofErr w:type="spellEnd"/>
      <w:r w:rsidRPr="00175261">
        <w:rPr>
          <w:color w:val="000000" w:themeColor="text1"/>
        </w:rPr>
        <w:t xml:space="preserve"> treatment (by TMM) </w:t>
      </w:r>
    </w:p>
    <w:p w14:paraId="1EC3D98E" w14:textId="77777777" w:rsidR="00A77628" w:rsidRPr="00175261" w:rsidRDefault="00A77628" w:rsidP="00A77628">
      <w:pPr>
        <w:pStyle w:val="ListParagraph"/>
        <w:numPr>
          <w:ilvl w:val="0"/>
          <w:numId w:val="1"/>
        </w:numPr>
        <w:spacing w:line="360" w:lineRule="auto"/>
        <w:jc w:val="both"/>
        <w:rPr>
          <w:color w:val="000000" w:themeColor="text1"/>
        </w:rPr>
      </w:pPr>
      <w:r w:rsidRPr="00175261">
        <w:rPr>
          <w:color w:val="000000" w:themeColor="text1"/>
        </w:rPr>
        <w:t xml:space="preserve">Table S2: Gene set of DE genes exposed to </w:t>
      </w:r>
      <w:proofErr w:type="spellStart"/>
      <w:r w:rsidRPr="00175261">
        <w:rPr>
          <w:color w:val="000000" w:themeColor="text1"/>
        </w:rPr>
        <w:t>bzATP</w:t>
      </w:r>
      <w:proofErr w:type="spellEnd"/>
      <w:r w:rsidRPr="00175261">
        <w:rPr>
          <w:color w:val="000000" w:themeColor="text1"/>
        </w:rPr>
        <w:t xml:space="preserve"> with slow kinetics (source of Table 2) </w:t>
      </w:r>
    </w:p>
    <w:p w14:paraId="5A7DE318" w14:textId="77777777" w:rsidR="00A77628" w:rsidRPr="00175261" w:rsidRDefault="00A77628" w:rsidP="00A77628">
      <w:pPr>
        <w:pStyle w:val="ListParagraph"/>
        <w:numPr>
          <w:ilvl w:val="0"/>
          <w:numId w:val="1"/>
        </w:numPr>
        <w:spacing w:line="360" w:lineRule="auto"/>
        <w:jc w:val="both"/>
        <w:rPr>
          <w:color w:val="000000" w:themeColor="text1"/>
        </w:rPr>
      </w:pPr>
      <w:r w:rsidRPr="00175261">
        <w:rPr>
          <w:color w:val="000000" w:themeColor="text1"/>
        </w:rPr>
        <w:t>Table S3: RNA-</w:t>
      </w:r>
      <w:proofErr w:type="spellStart"/>
      <w:r w:rsidRPr="00175261">
        <w:rPr>
          <w:color w:val="000000" w:themeColor="text1"/>
        </w:rPr>
        <w:t>seq</w:t>
      </w:r>
      <w:proofErr w:type="spellEnd"/>
      <w:r w:rsidRPr="00175261">
        <w:rPr>
          <w:color w:val="000000" w:themeColor="text1"/>
        </w:rPr>
        <w:t xml:space="preserve"> results for 33 interleukin-related genes (IL-gene set; source of Figure 4C). </w:t>
      </w:r>
    </w:p>
    <w:p w14:paraId="2A7DE6A3" w14:textId="77777777" w:rsidR="00A77628" w:rsidRDefault="00A77628" w:rsidP="00A77628">
      <w:pPr>
        <w:pStyle w:val="ListParagraph"/>
        <w:numPr>
          <w:ilvl w:val="0"/>
          <w:numId w:val="1"/>
        </w:numPr>
        <w:spacing w:line="360" w:lineRule="auto"/>
        <w:jc w:val="both"/>
        <w:rPr>
          <w:color w:val="000000" w:themeColor="text1"/>
        </w:rPr>
      </w:pPr>
      <w:r w:rsidRPr="00175261">
        <w:rPr>
          <w:color w:val="000000" w:themeColor="text1"/>
        </w:rPr>
        <w:t>Table S4: RNA-</w:t>
      </w:r>
      <w:proofErr w:type="spellStart"/>
      <w:r w:rsidRPr="00175261">
        <w:rPr>
          <w:color w:val="000000" w:themeColor="text1"/>
        </w:rPr>
        <w:t>seq</w:t>
      </w:r>
      <w:proofErr w:type="spellEnd"/>
      <w:r w:rsidRPr="00175261">
        <w:rPr>
          <w:color w:val="000000" w:themeColor="text1"/>
        </w:rPr>
        <w:t xml:space="preserve"> results for </w:t>
      </w:r>
      <w:proofErr w:type="spellStart"/>
      <w:r w:rsidRPr="00175261">
        <w:rPr>
          <w:color w:val="000000" w:themeColor="text1"/>
        </w:rPr>
        <w:t>bzATP</w:t>
      </w:r>
      <w:proofErr w:type="spellEnd"/>
      <w:r w:rsidRPr="00175261">
        <w:rPr>
          <w:color w:val="000000" w:themeColor="text1"/>
        </w:rPr>
        <w:t xml:space="preserve">/LPS treatment (by TMM) </w:t>
      </w:r>
    </w:p>
    <w:p w14:paraId="60D33BAE" w14:textId="786F1048" w:rsidR="00D45695" w:rsidRDefault="000007F2" w:rsidP="00C7776A">
      <w:pPr>
        <w:pStyle w:val="ListParagraph"/>
        <w:numPr>
          <w:ilvl w:val="0"/>
          <w:numId w:val="1"/>
        </w:numPr>
        <w:spacing w:line="360" w:lineRule="auto"/>
        <w:jc w:val="both"/>
        <w:rPr>
          <w:color w:val="000000" w:themeColor="text1"/>
        </w:rPr>
      </w:pPr>
      <w:r>
        <w:rPr>
          <w:color w:val="000000" w:themeColor="text1"/>
        </w:rPr>
        <w:t>Table S5:</w:t>
      </w:r>
      <w:r w:rsidR="000465EC">
        <w:rPr>
          <w:color w:val="000000" w:themeColor="text1"/>
        </w:rPr>
        <w:t xml:space="preserve"> </w:t>
      </w:r>
      <w:r w:rsidR="000465EC" w:rsidRPr="000465EC">
        <w:rPr>
          <w:color w:val="000000" w:themeColor="text1"/>
        </w:rPr>
        <w:t>Top 25 induced genes sorted by their ext</w:t>
      </w:r>
      <w:r w:rsidR="000465EC">
        <w:rPr>
          <w:color w:val="000000" w:themeColor="text1"/>
        </w:rPr>
        <w:t xml:space="preserve">ent of induction by </w:t>
      </w:r>
      <w:proofErr w:type="spellStart"/>
      <w:r w:rsidR="000465EC">
        <w:rPr>
          <w:color w:val="000000" w:themeColor="text1"/>
        </w:rPr>
        <w:t>bzATP</w:t>
      </w:r>
      <w:proofErr w:type="spellEnd"/>
      <w:r w:rsidR="000465EC">
        <w:rPr>
          <w:color w:val="000000" w:themeColor="text1"/>
        </w:rPr>
        <w:t>/LPS (</w:t>
      </w:r>
      <w:r w:rsidR="000465EC" w:rsidRPr="000465EC">
        <w:rPr>
          <w:color w:val="000000" w:themeColor="text1"/>
        </w:rPr>
        <w:t xml:space="preserve">8 </w:t>
      </w:r>
      <w:proofErr w:type="spellStart"/>
      <w:r w:rsidR="000465EC" w:rsidRPr="000465EC">
        <w:rPr>
          <w:color w:val="000000" w:themeColor="text1"/>
        </w:rPr>
        <w:t>hrs</w:t>
      </w:r>
      <w:proofErr w:type="spellEnd"/>
      <w:r w:rsidR="000465EC">
        <w:rPr>
          <w:color w:val="000000" w:themeColor="text1"/>
        </w:rPr>
        <w:t>)</w:t>
      </w:r>
      <w:r w:rsidR="000465EC" w:rsidRPr="000465EC">
        <w:rPr>
          <w:color w:val="000000" w:themeColor="text1"/>
        </w:rPr>
        <w:t xml:space="preserve"> relative to naïve cells</w:t>
      </w:r>
      <w:r w:rsidR="000465EC">
        <w:rPr>
          <w:color w:val="000000" w:themeColor="text1"/>
        </w:rPr>
        <w:t xml:space="preserve"> (source of Figure 7)</w:t>
      </w:r>
    </w:p>
    <w:p w14:paraId="57D0A020" w14:textId="77777777" w:rsidR="00C7776A" w:rsidRPr="00C7776A" w:rsidRDefault="00C7776A" w:rsidP="00C7776A">
      <w:pPr>
        <w:pStyle w:val="ListParagraph"/>
        <w:spacing w:line="360" w:lineRule="auto"/>
        <w:jc w:val="both"/>
        <w:rPr>
          <w:color w:val="000000" w:themeColor="text1"/>
        </w:rPr>
      </w:pPr>
    </w:p>
    <w:p w14:paraId="0EF84605" w14:textId="0564DB0B" w:rsidR="00D45695" w:rsidRDefault="000465EC" w:rsidP="00D45695">
      <w:pPr>
        <w:spacing w:line="360" w:lineRule="auto"/>
        <w:jc w:val="both"/>
        <w:rPr>
          <w:b/>
          <w:bCs/>
          <w:color w:val="000000" w:themeColor="text1"/>
        </w:rPr>
      </w:pPr>
      <w:r>
        <w:rPr>
          <w:b/>
          <w:bCs/>
          <w:color w:val="000000" w:themeColor="text1"/>
        </w:rPr>
        <w:t>Supplementary Figures S1-S</w:t>
      </w:r>
      <w:r w:rsidR="00C7776A">
        <w:rPr>
          <w:b/>
          <w:bCs/>
          <w:color w:val="000000" w:themeColor="text1"/>
        </w:rPr>
        <w:t>7</w:t>
      </w:r>
      <w:bookmarkStart w:id="0" w:name="_GoBack"/>
      <w:bookmarkEnd w:id="0"/>
      <w:r w:rsidR="00D45695">
        <w:rPr>
          <w:b/>
          <w:bCs/>
          <w:color w:val="000000" w:themeColor="text1"/>
        </w:rPr>
        <w:t>.</w:t>
      </w:r>
    </w:p>
    <w:p w14:paraId="22A57394" w14:textId="77777777" w:rsidR="00D45695" w:rsidRDefault="00D45695" w:rsidP="00A77628">
      <w:pPr>
        <w:spacing w:after="160" w:line="259" w:lineRule="auto"/>
        <w:rPr>
          <w:color w:val="000000" w:themeColor="text1"/>
        </w:rPr>
      </w:pPr>
    </w:p>
    <w:p w14:paraId="3B05C9AA" w14:textId="77777777" w:rsidR="00A77628" w:rsidRDefault="00A77628" w:rsidP="00A77628">
      <w:pPr>
        <w:spacing w:after="160" w:line="259" w:lineRule="auto"/>
        <w:rPr>
          <w:color w:val="000000" w:themeColor="text1"/>
        </w:rPr>
      </w:pPr>
      <w:r>
        <w:rPr>
          <w:color w:val="000000" w:themeColor="text1"/>
        </w:rPr>
        <w:br w:type="page"/>
      </w:r>
    </w:p>
    <w:p w14:paraId="68165F6A" w14:textId="77777777" w:rsidR="00A77628" w:rsidRDefault="00A77628" w:rsidP="00A77628">
      <w:pPr>
        <w:spacing w:line="360" w:lineRule="auto"/>
        <w:jc w:val="both"/>
        <w:rPr>
          <w:color w:val="000000" w:themeColor="text1"/>
        </w:rPr>
      </w:pPr>
    </w:p>
    <w:p w14:paraId="3D574B7C" w14:textId="77777777" w:rsidR="00A77628" w:rsidRDefault="00A77628" w:rsidP="00A77628">
      <w:pPr>
        <w:spacing w:line="360" w:lineRule="auto"/>
        <w:jc w:val="both"/>
        <w:rPr>
          <w:b/>
          <w:bCs/>
          <w:color w:val="000000" w:themeColor="text1"/>
        </w:rPr>
      </w:pPr>
      <w:r w:rsidRPr="00175261">
        <w:rPr>
          <w:b/>
          <w:bCs/>
          <w:color w:val="000000" w:themeColor="text1"/>
        </w:rPr>
        <w:t>Supplementary Figures:</w:t>
      </w:r>
    </w:p>
    <w:p w14:paraId="58F7B60D" w14:textId="77777777" w:rsidR="00A77628" w:rsidRDefault="00A77628" w:rsidP="00A77628">
      <w:pPr>
        <w:spacing w:line="360" w:lineRule="auto"/>
        <w:jc w:val="both"/>
        <w:rPr>
          <w:b/>
          <w:bCs/>
          <w:color w:val="000000" w:themeColor="text1"/>
        </w:rPr>
      </w:pPr>
    </w:p>
    <w:p w14:paraId="3210010B" w14:textId="77777777" w:rsidR="00A77628" w:rsidRDefault="00A77628" w:rsidP="00A77628">
      <w:pPr>
        <w:spacing w:line="360" w:lineRule="auto"/>
        <w:jc w:val="center"/>
        <w:rPr>
          <w:b/>
          <w:bCs/>
          <w:color w:val="000000" w:themeColor="text1"/>
        </w:rPr>
      </w:pPr>
      <w:r w:rsidRPr="00175261">
        <w:rPr>
          <w:b/>
          <w:bCs/>
          <w:noProof/>
          <w:color w:val="000000" w:themeColor="text1"/>
        </w:rPr>
        <w:drawing>
          <wp:inline distT="0" distB="0" distL="0" distR="0" wp14:anchorId="530ED2E2" wp14:editId="7ABCFA5F">
            <wp:extent cx="3915178" cy="590751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6816" t="1330" r="37070" b="1797"/>
                    <a:stretch/>
                  </pic:blipFill>
                  <pic:spPr bwMode="auto">
                    <a:xfrm>
                      <a:off x="0" y="0"/>
                      <a:ext cx="3924003" cy="5920834"/>
                    </a:xfrm>
                    <a:prstGeom prst="rect">
                      <a:avLst/>
                    </a:prstGeom>
                    <a:ln>
                      <a:noFill/>
                    </a:ln>
                    <a:extLst>
                      <a:ext uri="{53640926-AAD7-44D8-BBD7-CCE9431645EC}">
                        <a14:shadowObscured xmlns:a14="http://schemas.microsoft.com/office/drawing/2010/main"/>
                      </a:ext>
                    </a:extLst>
                  </pic:spPr>
                </pic:pic>
              </a:graphicData>
            </a:graphic>
          </wp:inline>
        </w:drawing>
      </w:r>
    </w:p>
    <w:p w14:paraId="2B04C130" w14:textId="77777777" w:rsidR="00A77628" w:rsidRDefault="00A77628" w:rsidP="00A77628">
      <w:pPr>
        <w:spacing w:line="276" w:lineRule="auto"/>
        <w:jc w:val="both"/>
        <w:rPr>
          <w:color w:val="000000" w:themeColor="text1"/>
        </w:rPr>
      </w:pPr>
      <w:r w:rsidRPr="00FF395E">
        <w:rPr>
          <w:b/>
          <w:bCs/>
          <w:color w:val="000000" w:themeColor="text1"/>
        </w:rPr>
        <w:t>Figure S1.</w:t>
      </w:r>
      <w:r>
        <w:rPr>
          <w:color w:val="000000" w:themeColor="text1"/>
        </w:rPr>
        <w:t xml:space="preserve"> G</w:t>
      </w:r>
      <w:r w:rsidRPr="00E808F8">
        <w:rPr>
          <w:color w:val="000000" w:themeColor="text1"/>
        </w:rPr>
        <w:t xml:space="preserve">ene expression trends on naïve, not treated microglial cells and following activation with </w:t>
      </w:r>
      <w:proofErr w:type="spellStart"/>
      <w:r w:rsidRPr="00E808F8">
        <w:rPr>
          <w:color w:val="000000" w:themeColor="text1"/>
        </w:rPr>
        <w:t>bzATP</w:t>
      </w:r>
      <w:proofErr w:type="spellEnd"/>
      <w:r w:rsidRPr="00E808F8">
        <w:rPr>
          <w:color w:val="000000" w:themeColor="text1"/>
        </w:rPr>
        <w:t xml:space="preserve"> for 3 </w:t>
      </w:r>
      <w:proofErr w:type="spellStart"/>
      <w:r w:rsidRPr="00E808F8">
        <w:rPr>
          <w:color w:val="000000" w:themeColor="text1"/>
        </w:rPr>
        <w:t>hrs</w:t>
      </w:r>
      <w:proofErr w:type="spellEnd"/>
      <w:r w:rsidRPr="00E808F8">
        <w:rPr>
          <w:color w:val="000000" w:themeColor="text1"/>
        </w:rPr>
        <w:t xml:space="preserve"> and 8 hrs. Each differentially expressed gene is shown as a gray line connecting the hours from the exposure. The y-axis shows the log (base 2) fold change (log FC). The horizontal red line indicates a baseline with no change in expression. Note that the scale of the y-axis changes according to the range of the genes in the clustered group. The number of genes associated with each cluster group (</w:t>
      </w:r>
      <w:r>
        <w:rPr>
          <w:color w:val="000000" w:themeColor="text1"/>
        </w:rPr>
        <w:t>Marked as</w:t>
      </w:r>
      <w:r w:rsidRPr="00E808F8">
        <w:rPr>
          <w:color w:val="000000" w:themeColor="text1"/>
        </w:rPr>
        <w:t xml:space="preserve"> Up, Same and Down) are indicated. Analysis is based on data in </w:t>
      </w:r>
      <w:r w:rsidRPr="00FF395E">
        <w:rPr>
          <w:b/>
          <w:bCs/>
          <w:color w:val="000000" w:themeColor="text1"/>
        </w:rPr>
        <w:t>Supplemental Table S1</w:t>
      </w:r>
      <w:r w:rsidRPr="00E808F8">
        <w:rPr>
          <w:color w:val="000000" w:themeColor="text1"/>
        </w:rPr>
        <w:t>.</w:t>
      </w:r>
    </w:p>
    <w:p w14:paraId="65765304" w14:textId="77777777" w:rsidR="003F50C4" w:rsidRDefault="003F50C4" w:rsidP="00A77628">
      <w:pPr>
        <w:spacing w:line="276" w:lineRule="auto"/>
        <w:jc w:val="both"/>
        <w:rPr>
          <w:color w:val="000000" w:themeColor="text1"/>
        </w:rPr>
      </w:pPr>
    </w:p>
    <w:p w14:paraId="075BB618" w14:textId="77777777" w:rsidR="003F50C4" w:rsidRDefault="003F50C4" w:rsidP="00A77628">
      <w:pPr>
        <w:spacing w:line="276" w:lineRule="auto"/>
        <w:jc w:val="both"/>
        <w:rPr>
          <w:color w:val="000000" w:themeColor="text1"/>
        </w:rPr>
      </w:pPr>
    </w:p>
    <w:p w14:paraId="1D2B99E1" w14:textId="77777777" w:rsidR="003F50C4" w:rsidRDefault="003F50C4" w:rsidP="003F50C4">
      <w:pPr>
        <w:jc w:val="both"/>
        <w:rPr>
          <w:b/>
          <w:bCs/>
        </w:rPr>
      </w:pPr>
    </w:p>
    <w:p w14:paraId="74522E35" w14:textId="0FE0DE4A" w:rsidR="003F50C4" w:rsidRDefault="003F50C4" w:rsidP="000007F2">
      <w:pPr>
        <w:jc w:val="center"/>
        <w:rPr>
          <w:b/>
          <w:bCs/>
        </w:rPr>
      </w:pPr>
      <w:r>
        <w:rPr>
          <w:noProof/>
        </w:rPr>
        <w:drawing>
          <wp:inline distT="0" distB="0" distL="0" distR="0" wp14:anchorId="40BC7681" wp14:editId="5E73F841">
            <wp:extent cx="5013158" cy="4294773"/>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DS.pdf"/>
                    <pic:cNvPicPr/>
                  </pic:nvPicPr>
                  <pic:blipFill>
                    <a:blip r:embed="rId8">
                      <a:extLst>
                        <a:ext uri="{28A0092B-C50C-407E-A947-70E740481C1C}">
                          <a14:useLocalDpi xmlns:a14="http://schemas.microsoft.com/office/drawing/2010/main" val="0"/>
                        </a:ext>
                      </a:extLst>
                    </a:blip>
                    <a:stretch>
                      <a:fillRect/>
                    </a:stretch>
                  </pic:blipFill>
                  <pic:spPr>
                    <a:xfrm>
                      <a:off x="0" y="0"/>
                      <a:ext cx="5024357" cy="4304367"/>
                    </a:xfrm>
                    <a:prstGeom prst="rect">
                      <a:avLst/>
                    </a:prstGeom>
                  </pic:spPr>
                </pic:pic>
              </a:graphicData>
            </a:graphic>
          </wp:inline>
        </w:drawing>
      </w:r>
    </w:p>
    <w:p w14:paraId="0FC3AAC2" w14:textId="77777777" w:rsidR="003F50C4" w:rsidRDefault="003F50C4" w:rsidP="003F50C4">
      <w:pPr>
        <w:jc w:val="both"/>
        <w:rPr>
          <w:b/>
          <w:bCs/>
        </w:rPr>
      </w:pPr>
    </w:p>
    <w:p w14:paraId="22AA8633" w14:textId="77777777" w:rsidR="003F50C4" w:rsidRDefault="003F50C4" w:rsidP="003F50C4">
      <w:pPr>
        <w:jc w:val="both"/>
      </w:pPr>
      <w:r>
        <w:rPr>
          <w:b/>
          <w:bCs/>
        </w:rPr>
        <w:t>Figure S2.</w:t>
      </w:r>
      <w:r>
        <w:t xml:space="preserve"> M</w:t>
      </w:r>
      <w:r w:rsidRPr="003F50C4">
        <w:t xml:space="preserve">ultidimensional scaling method (MDS) </w:t>
      </w:r>
      <w:r>
        <w:t>partition the</w:t>
      </w:r>
      <w:r w:rsidRPr="00177A79">
        <w:t xml:space="preserve"> </w:t>
      </w:r>
      <w:r>
        <w:t xml:space="preserve">1000 most significantly DE genes for all </w:t>
      </w:r>
      <w:r w:rsidRPr="00177A79">
        <w:t xml:space="preserve">15 samples of RNA-seq. The variance explained by the two principle components (PC1, PC2) is </w:t>
      </w:r>
      <w:r>
        <w:t>92</w:t>
      </w:r>
      <w:r w:rsidRPr="00177A79">
        <w:t>%.</w:t>
      </w:r>
      <w:r>
        <w:t xml:space="preserve"> With PC1 (79%) and PC2 (13%). </w:t>
      </w:r>
    </w:p>
    <w:p w14:paraId="02EB124C" w14:textId="77777777" w:rsidR="003F50C4" w:rsidRPr="00175261" w:rsidRDefault="003F50C4" w:rsidP="003F50C4">
      <w:pPr>
        <w:jc w:val="both"/>
      </w:pPr>
    </w:p>
    <w:p w14:paraId="0F2990D4" w14:textId="77777777" w:rsidR="003F50C4" w:rsidRDefault="003F50C4" w:rsidP="003F50C4"/>
    <w:p w14:paraId="646570F0" w14:textId="48A5D6BB" w:rsidR="003F50C4" w:rsidRPr="003F50C4" w:rsidRDefault="003F50C4" w:rsidP="003F50C4">
      <w:pPr>
        <w:spacing w:line="276" w:lineRule="auto"/>
        <w:jc w:val="both"/>
        <w:rPr>
          <w:b/>
          <w:bCs/>
          <w:color w:val="000000" w:themeColor="text1"/>
        </w:rPr>
      </w:pPr>
      <w:r>
        <w:br w:type="page"/>
      </w:r>
    </w:p>
    <w:p w14:paraId="70741F22" w14:textId="77777777" w:rsidR="00A77628" w:rsidRPr="00F74C52" w:rsidRDefault="00A77628" w:rsidP="00A77628">
      <w:pPr>
        <w:spacing w:line="360" w:lineRule="auto"/>
        <w:jc w:val="center"/>
        <w:rPr>
          <w:color w:val="000000" w:themeColor="text1"/>
        </w:rPr>
      </w:pPr>
      <w:r w:rsidRPr="00466167">
        <w:rPr>
          <w:noProof/>
          <w:color w:val="000000" w:themeColor="text1"/>
        </w:rPr>
        <w:lastRenderedPageBreak/>
        <w:drawing>
          <wp:inline distT="0" distB="0" distL="0" distR="0" wp14:anchorId="3EDDF949" wp14:editId="64B13936">
            <wp:extent cx="4348962" cy="5975797"/>
            <wp:effectExtent l="0" t="0" r="0" b="0"/>
            <wp:docPr id="3" name="Picture 2">
              <a:extLst xmlns:a="http://schemas.openxmlformats.org/drawingml/2006/main">
                <a:ext uri="{FF2B5EF4-FFF2-40B4-BE49-F238E27FC236}">
                  <a16:creationId xmlns:a16="http://schemas.microsoft.com/office/drawing/2014/main" id="{39CE86CD-A341-7141-AEAC-3058FBCA25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9CE86CD-A341-7141-AEAC-3058FBCA25DB}"/>
                        </a:ext>
                      </a:extLst>
                    </pic:cNvPr>
                    <pic:cNvPicPr>
                      <a:picLocks noChangeAspect="1"/>
                    </pic:cNvPicPr>
                  </pic:nvPicPr>
                  <pic:blipFill>
                    <a:blip r:embed="rId9"/>
                    <a:stretch>
                      <a:fillRect/>
                    </a:stretch>
                  </pic:blipFill>
                  <pic:spPr>
                    <a:xfrm>
                      <a:off x="0" y="0"/>
                      <a:ext cx="4353005" cy="5981353"/>
                    </a:xfrm>
                    <a:prstGeom prst="rect">
                      <a:avLst/>
                    </a:prstGeom>
                  </pic:spPr>
                </pic:pic>
              </a:graphicData>
            </a:graphic>
          </wp:inline>
        </w:drawing>
      </w:r>
    </w:p>
    <w:p w14:paraId="31DB4D3E" w14:textId="77777777" w:rsidR="00A77628" w:rsidRDefault="00A77628" w:rsidP="00A77628">
      <w:pPr>
        <w:spacing w:after="120" w:line="360" w:lineRule="auto"/>
        <w:jc w:val="both"/>
        <w:rPr>
          <w:color w:val="000000" w:themeColor="text1"/>
          <w:sz w:val="22"/>
          <w:szCs w:val="22"/>
        </w:rPr>
      </w:pPr>
    </w:p>
    <w:p w14:paraId="452F20F6" w14:textId="45172CA6" w:rsidR="00A77628" w:rsidRDefault="00A77628" w:rsidP="00A77628">
      <w:pPr>
        <w:spacing w:line="276" w:lineRule="auto"/>
        <w:jc w:val="both"/>
        <w:rPr>
          <w:color w:val="000000" w:themeColor="text1"/>
        </w:rPr>
      </w:pPr>
      <w:r w:rsidRPr="00FF395E">
        <w:rPr>
          <w:b/>
          <w:bCs/>
          <w:color w:val="000000" w:themeColor="text1"/>
        </w:rPr>
        <w:t>Figure S</w:t>
      </w:r>
      <w:r w:rsidR="003F50C4">
        <w:rPr>
          <w:b/>
          <w:bCs/>
          <w:color w:val="000000" w:themeColor="text1"/>
        </w:rPr>
        <w:t>3</w:t>
      </w:r>
      <w:r w:rsidRPr="00FF395E">
        <w:rPr>
          <w:b/>
          <w:bCs/>
          <w:color w:val="000000" w:themeColor="text1"/>
        </w:rPr>
        <w:t>.</w:t>
      </w:r>
      <w:r>
        <w:rPr>
          <w:color w:val="000000" w:themeColor="text1"/>
        </w:rPr>
        <w:t xml:space="preserve"> G</w:t>
      </w:r>
      <w:r w:rsidRPr="00E808F8">
        <w:rPr>
          <w:color w:val="000000" w:themeColor="text1"/>
        </w:rPr>
        <w:t xml:space="preserve">ene expression trends on naïve, not treated microglial cells and following activation with </w:t>
      </w:r>
      <w:proofErr w:type="spellStart"/>
      <w:r w:rsidRPr="00E808F8">
        <w:rPr>
          <w:color w:val="000000" w:themeColor="text1"/>
        </w:rPr>
        <w:t>bzATP</w:t>
      </w:r>
      <w:proofErr w:type="spellEnd"/>
      <w:r>
        <w:rPr>
          <w:color w:val="000000" w:themeColor="text1"/>
        </w:rPr>
        <w:t>/LPS</w:t>
      </w:r>
      <w:r w:rsidRPr="00E808F8">
        <w:rPr>
          <w:color w:val="000000" w:themeColor="text1"/>
        </w:rPr>
        <w:t xml:space="preserve"> for 3 </w:t>
      </w:r>
      <w:proofErr w:type="spellStart"/>
      <w:r w:rsidRPr="00E808F8">
        <w:rPr>
          <w:color w:val="000000" w:themeColor="text1"/>
        </w:rPr>
        <w:t>hrs</w:t>
      </w:r>
      <w:proofErr w:type="spellEnd"/>
      <w:r w:rsidRPr="00E808F8">
        <w:rPr>
          <w:color w:val="000000" w:themeColor="text1"/>
        </w:rPr>
        <w:t xml:space="preserve"> and 8 hrs. Each differentially expressed gene is shown as a gray line connecting the hours from the exposure. The y-axis shows the log (base 2) fold change (log FC). The horizontal red line indicates a baseline with no change in expression. Note that the scale of the y-axis changes according to the range of the genes in the clustered group. The number of genes associated with each cluster group (</w:t>
      </w:r>
      <w:r>
        <w:rPr>
          <w:color w:val="000000" w:themeColor="text1"/>
        </w:rPr>
        <w:t>Marked as</w:t>
      </w:r>
      <w:r w:rsidRPr="00E808F8">
        <w:rPr>
          <w:color w:val="000000" w:themeColor="text1"/>
        </w:rPr>
        <w:t xml:space="preserve"> Up, Same and Down) are indicated. Analysis is based on data in </w:t>
      </w:r>
      <w:r w:rsidRPr="00FF395E">
        <w:rPr>
          <w:b/>
          <w:bCs/>
          <w:color w:val="000000" w:themeColor="text1"/>
        </w:rPr>
        <w:t>Supplemental Table S</w:t>
      </w:r>
      <w:r>
        <w:rPr>
          <w:b/>
          <w:bCs/>
          <w:color w:val="000000" w:themeColor="text1"/>
        </w:rPr>
        <w:t>4</w:t>
      </w:r>
      <w:r w:rsidRPr="00E808F8">
        <w:rPr>
          <w:color w:val="000000" w:themeColor="text1"/>
        </w:rPr>
        <w:t>.</w:t>
      </w:r>
    </w:p>
    <w:p w14:paraId="3C104440" w14:textId="77777777" w:rsidR="00A77628" w:rsidRDefault="00A77628" w:rsidP="00A77628">
      <w:pPr>
        <w:spacing w:after="160" w:line="259" w:lineRule="auto"/>
        <w:rPr>
          <w:color w:val="000000" w:themeColor="text1"/>
        </w:rPr>
      </w:pPr>
      <w:r>
        <w:rPr>
          <w:color w:val="000000" w:themeColor="text1"/>
        </w:rPr>
        <w:br w:type="page"/>
      </w:r>
    </w:p>
    <w:p w14:paraId="57171EA5" w14:textId="77777777" w:rsidR="00A77628" w:rsidRPr="00175261" w:rsidRDefault="00A77628" w:rsidP="00A77628">
      <w:pPr>
        <w:spacing w:line="360" w:lineRule="auto"/>
        <w:jc w:val="both"/>
        <w:rPr>
          <w:b/>
          <w:bCs/>
          <w:color w:val="000000" w:themeColor="text1"/>
        </w:rPr>
      </w:pPr>
    </w:p>
    <w:p w14:paraId="2CFF8027" w14:textId="77777777" w:rsidR="00A77628" w:rsidRDefault="00A77628" w:rsidP="00A77628">
      <w:pPr>
        <w:jc w:val="both"/>
        <w:rPr>
          <w:b/>
          <w:bCs/>
        </w:rPr>
      </w:pPr>
    </w:p>
    <w:p w14:paraId="60E41455" w14:textId="77777777" w:rsidR="00A77628" w:rsidRDefault="00A77628" w:rsidP="00A77628">
      <w:pPr>
        <w:jc w:val="both"/>
        <w:rPr>
          <w:b/>
          <w:bCs/>
        </w:rPr>
      </w:pPr>
      <w:r w:rsidRPr="00175261">
        <w:rPr>
          <w:b/>
          <w:bCs/>
          <w:noProof/>
        </w:rPr>
        <w:drawing>
          <wp:inline distT="0" distB="0" distL="0" distR="0" wp14:anchorId="7DECC8B2" wp14:editId="7FDC4D12">
            <wp:extent cx="5486400" cy="3304540"/>
            <wp:effectExtent l="0" t="0" r="0" b="0"/>
            <wp:docPr id="4" name="Picture 3">
              <a:extLst xmlns:a="http://schemas.openxmlformats.org/drawingml/2006/main">
                <a:ext uri="{FF2B5EF4-FFF2-40B4-BE49-F238E27FC236}">
                  <a16:creationId xmlns:a16="http://schemas.microsoft.com/office/drawing/2014/main" id="{7E341426-F5DC-5849-89F6-D5932D1A178B}"/>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E341426-F5DC-5849-89F6-D5932D1A178B}"/>
                        </a:ext>
                      </a:extLst>
                    </pic:cNvPr>
                    <pic:cNvPicPr/>
                  </pic:nvPicPr>
                  <pic:blipFill>
                    <a:blip r:embed="rId10"/>
                    <a:stretch>
                      <a:fillRect/>
                    </a:stretch>
                  </pic:blipFill>
                  <pic:spPr>
                    <a:xfrm>
                      <a:off x="0" y="0"/>
                      <a:ext cx="5486400" cy="3304540"/>
                    </a:xfrm>
                    <a:prstGeom prst="rect">
                      <a:avLst/>
                    </a:prstGeom>
                  </pic:spPr>
                </pic:pic>
              </a:graphicData>
            </a:graphic>
          </wp:inline>
        </w:drawing>
      </w:r>
      <w:r w:rsidRPr="00175261">
        <w:rPr>
          <w:b/>
          <w:bCs/>
        </w:rPr>
        <w:t xml:space="preserve"> </w:t>
      </w:r>
    </w:p>
    <w:p w14:paraId="28ECFB9D" w14:textId="77777777" w:rsidR="00A77628" w:rsidRDefault="00A77628" w:rsidP="00A77628">
      <w:pPr>
        <w:jc w:val="both"/>
        <w:rPr>
          <w:b/>
          <w:bCs/>
        </w:rPr>
      </w:pPr>
    </w:p>
    <w:p w14:paraId="267D7DBE" w14:textId="51A73713" w:rsidR="00A77628" w:rsidRDefault="003F50C4" w:rsidP="00A77628">
      <w:pPr>
        <w:jc w:val="both"/>
      </w:pPr>
      <w:r>
        <w:rPr>
          <w:b/>
          <w:bCs/>
        </w:rPr>
        <w:t>Figure S4</w:t>
      </w:r>
      <w:r w:rsidR="00A77628" w:rsidRPr="00175261">
        <w:rPr>
          <w:b/>
          <w:bCs/>
        </w:rPr>
        <w:t xml:space="preserve">: </w:t>
      </w:r>
      <w:r w:rsidR="00A77628" w:rsidRPr="00175261">
        <w:t xml:space="preserve">Enrichment analysis for all </w:t>
      </w:r>
      <w:r w:rsidR="00A77628">
        <w:t xml:space="preserve">9 </w:t>
      </w:r>
      <w:r w:rsidR="00A77628" w:rsidRPr="00175261">
        <w:t>differentially expressed (DE) gene</w:t>
      </w:r>
      <w:r w:rsidR="00A77628">
        <w:t xml:space="preserve"> clusters</w:t>
      </w:r>
      <w:r w:rsidR="00A77628" w:rsidRPr="00175261">
        <w:t xml:space="preserve"> followed </w:t>
      </w:r>
      <w:proofErr w:type="spellStart"/>
      <w:r w:rsidR="00A77628" w:rsidRPr="00175261">
        <w:t>bzATP</w:t>
      </w:r>
      <w:proofErr w:type="spellEnd"/>
      <w:r w:rsidR="00A77628" w:rsidRPr="00175261">
        <w:t xml:space="preserve">/LTP induction. Enrichment analysis for all DE genes clusters. Top, middle and bottom panels are associated with Up, Same and Down set (3 </w:t>
      </w:r>
      <w:proofErr w:type="spellStart"/>
      <w:r w:rsidR="00A77628" w:rsidRPr="00175261">
        <w:t>hrs</w:t>
      </w:r>
      <w:proofErr w:type="spellEnd"/>
      <w:r w:rsidR="00A77628" w:rsidRPr="00175261">
        <w:t xml:space="preserve">). Annotations are according to KEGG pathway resource. Statistical enrichment is depicted by p-adjust and significance is bounded to FDR &lt;0.05. The size of the dots captures the number of proteins. Note that the enrichment significance scale, the number of genes associated with each enriched pathway, and the gene ratio (i.e., fraction of genes in the cluster that are included in the specific pathway) differ among gene cluster. A vertical dashed line marks Gene ratio = 0.7 for better visual alignment.   </w:t>
      </w:r>
    </w:p>
    <w:p w14:paraId="7A584531" w14:textId="77777777" w:rsidR="003F50C4" w:rsidRDefault="003F50C4" w:rsidP="00A77628">
      <w:pPr>
        <w:jc w:val="both"/>
      </w:pPr>
    </w:p>
    <w:p w14:paraId="78303EB8" w14:textId="4ABD9127" w:rsidR="003F50C4" w:rsidRDefault="003F50C4" w:rsidP="003F50C4">
      <w:r>
        <w:fldChar w:fldCharType="begin"/>
      </w:r>
      <w:r>
        <w:instrText xml:space="preserve"> INCLUDEPICTURE "cid:f_kxx8jimw2" \* MERGEFORMATINET </w:instrText>
      </w:r>
      <w:r>
        <w:fldChar w:fldCharType="separate"/>
      </w:r>
      <w:r>
        <w:rPr>
          <w:noProof/>
        </w:rPr>
        <mc:AlternateContent>
          <mc:Choice Requires="wps">
            <w:drawing>
              <wp:inline distT="0" distB="0" distL="0" distR="0" wp14:anchorId="1099D294" wp14:editId="0FB7FDE9">
                <wp:extent cx="299720" cy="299720"/>
                <wp:effectExtent l="0" t="0" r="0" b="0"/>
                <wp:docPr id="8" name="Rectangle 8" descr="MDS.pdf"/>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972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5E4B4E" id="Rectangle 8" o:spid="_x0000_s1026" alt="MDS.pdf" style="width:23.6pt;height: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" filled="f" stroked="f">
                <o:lock v:ext="edit" aspectratio="t"/>
                <w10:anchorlock/>
              </v:rect>
            </w:pict>
          </mc:Fallback>
        </mc:AlternateContent>
      </w:r>
      <w:r>
        <w:fldChar w:fldCharType="end"/>
      </w:r>
    </w:p>
    <w:p w14:paraId="268439E8" w14:textId="45EF7ED0" w:rsidR="003F50C4" w:rsidRDefault="003F50C4">
      <w:r>
        <w:br w:type="page"/>
      </w:r>
    </w:p>
    <w:p w14:paraId="1D244F40" w14:textId="1426157A" w:rsidR="00A77628" w:rsidRDefault="00A77628" w:rsidP="00A77628">
      <w:pPr>
        <w:spacing w:after="160" w:line="259" w:lineRule="auto"/>
      </w:pPr>
    </w:p>
    <w:p w14:paraId="39AE4D47" w14:textId="77777777" w:rsidR="00A77628" w:rsidRDefault="00A77628" w:rsidP="00A77628">
      <w:pPr>
        <w:spacing w:after="120"/>
        <w:jc w:val="both"/>
        <w:rPr>
          <w:b/>
          <w:color w:val="000000" w:themeColor="text1"/>
        </w:rPr>
      </w:pPr>
      <w:r w:rsidRPr="00466167">
        <w:rPr>
          <w:b/>
          <w:noProof/>
          <w:color w:val="000000" w:themeColor="text1"/>
        </w:rPr>
        <w:drawing>
          <wp:inline distT="0" distB="0" distL="0" distR="0" wp14:anchorId="4185A7D8" wp14:editId="3F84F07F">
            <wp:extent cx="5486400" cy="3680460"/>
            <wp:effectExtent l="0" t="0" r="0" b="2540"/>
            <wp:docPr id="7" name="Picture 6">
              <a:extLst xmlns:a="http://schemas.openxmlformats.org/drawingml/2006/main">
                <a:ext uri="{FF2B5EF4-FFF2-40B4-BE49-F238E27FC236}">
                  <a16:creationId xmlns:a16="http://schemas.microsoft.com/office/drawing/2014/main" id="{B6780D9F-CB4B-1549-9BA4-2A654C43BE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780D9F-CB4B-1549-9BA4-2A654C43BE22}"/>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6400" cy="3680460"/>
                    </a:xfrm>
                    <a:prstGeom prst="rect">
                      <a:avLst/>
                    </a:prstGeom>
                  </pic:spPr>
                </pic:pic>
              </a:graphicData>
            </a:graphic>
          </wp:inline>
        </w:drawing>
      </w:r>
    </w:p>
    <w:p w14:paraId="6ED76805" w14:textId="77777777" w:rsidR="00A77628" w:rsidRDefault="00A77628" w:rsidP="00A77628">
      <w:pPr>
        <w:spacing w:after="120"/>
        <w:jc w:val="both"/>
        <w:rPr>
          <w:b/>
          <w:color w:val="000000" w:themeColor="text1"/>
        </w:rPr>
      </w:pPr>
    </w:p>
    <w:p w14:paraId="58BE6FBE" w14:textId="77777777" w:rsidR="00A77628" w:rsidRDefault="00A77628" w:rsidP="00A77628">
      <w:pPr>
        <w:spacing w:after="120"/>
        <w:jc w:val="both"/>
        <w:rPr>
          <w:b/>
          <w:color w:val="000000" w:themeColor="text1"/>
        </w:rPr>
      </w:pPr>
    </w:p>
    <w:p w14:paraId="1CD1A378" w14:textId="1AD65ECB" w:rsidR="00A77628" w:rsidRDefault="00A77628" w:rsidP="00A77628">
      <w:pPr>
        <w:spacing w:after="120"/>
        <w:jc w:val="both"/>
        <w:rPr>
          <w:bCs/>
          <w:color w:val="000000" w:themeColor="text1"/>
        </w:rPr>
      </w:pPr>
      <w:r w:rsidRPr="004D76BB">
        <w:rPr>
          <w:b/>
          <w:color w:val="000000" w:themeColor="text1"/>
        </w:rPr>
        <w:t xml:space="preserve">Figure </w:t>
      </w:r>
      <w:r w:rsidR="003F50C4">
        <w:rPr>
          <w:b/>
          <w:color w:val="000000" w:themeColor="text1"/>
        </w:rPr>
        <w:t>S5</w:t>
      </w:r>
      <w:r>
        <w:rPr>
          <w:b/>
          <w:color w:val="000000" w:themeColor="text1"/>
        </w:rPr>
        <w:t xml:space="preserve">. </w:t>
      </w:r>
      <w:r w:rsidRPr="004D76BB">
        <w:rPr>
          <w:bCs/>
          <w:color w:val="000000" w:themeColor="text1"/>
        </w:rPr>
        <w:t xml:space="preserve"> </w:t>
      </w:r>
      <w:r>
        <w:rPr>
          <w:bCs/>
          <w:color w:val="000000" w:themeColor="text1"/>
        </w:rPr>
        <w:t>E</w:t>
      </w:r>
      <w:r w:rsidRPr="004D76BB">
        <w:rPr>
          <w:bCs/>
          <w:color w:val="000000" w:themeColor="text1"/>
        </w:rPr>
        <w:t xml:space="preserve">nrichment analysis for </w:t>
      </w:r>
      <w:r>
        <w:rPr>
          <w:bCs/>
          <w:color w:val="000000" w:themeColor="text1"/>
        </w:rPr>
        <w:t>gene ontology (GO) of upregulated DE genes. An enrichment test was applied on 585 statistically significant DE genes that were strongly induced (&gt;1.5-fold</w:t>
      </w:r>
      <w:r w:rsidRPr="004D76BB">
        <w:rPr>
          <w:bCs/>
          <w:color w:val="000000" w:themeColor="text1"/>
        </w:rPr>
        <w:t xml:space="preserve"> </w:t>
      </w:r>
      <w:r>
        <w:rPr>
          <w:bCs/>
          <w:color w:val="000000" w:themeColor="text1"/>
        </w:rPr>
        <w:t xml:space="preserve">increase in expression </w:t>
      </w:r>
      <w:r w:rsidRPr="004D76BB">
        <w:rPr>
          <w:bCs/>
          <w:color w:val="000000" w:themeColor="text1"/>
        </w:rPr>
        <w:t xml:space="preserve">relative to </w:t>
      </w:r>
      <w:r>
        <w:rPr>
          <w:bCs/>
          <w:color w:val="000000" w:themeColor="text1"/>
        </w:rPr>
        <w:t xml:space="preserve">that of </w:t>
      </w:r>
      <w:r w:rsidRPr="004D76BB">
        <w:rPr>
          <w:bCs/>
          <w:color w:val="000000" w:themeColor="text1"/>
        </w:rPr>
        <w:t>non-treated cells</w:t>
      </w:r>
      <w:r>
        <w:rPr>
          <w:bCs/>
          <w:color w:val="000000" w:themeColor="text1"/>
        </w:rPr>
        <w:t>, and average expression level &gt;1</w:t>
      </w:r>
      <w:r w:rsidRPr="004D76BB">
        <w:rPr>
          <w:bCs/>
          <w:color w:val="000000" w:themeColor="text1"/>
        </w:rPr>
        <w:t>0 TMM</w:t>
      </w:r>
      <w:r>
        <w:rPr>
          <w:bCs/>
          <w:color w:val="000000" w:themeColor="text1"/>
        </w:rPr>
        <w:t>). The test was based on hypergeometric analysis, followed by multiple testing corrections, (</w:t>
      </w:r>
      <w:proofErr w:type="spellStart"/>
      <w:r w:rsidRPr="004D76BB">
        <w:rPr>
          <w:bCs/>
          <w:color w:val="000000" w:themeColor="text1"/>
        </w:rPr>
        <w:t>G</w:t>
      </w:r>
      <w:r>
        <w:rPr>
          <w:bCs/>
          <w:color w:val="000000" w:themeColor="text1"/>
        </w:rPr>
        <w:t>O</w:t>
      </w:r>
      <w:r w:rsidRPr="004D76BB">
        <w:rPr>
          <w:bCs/>
          <w:color w:val="000000" w:themeColor="text1"/>
        </w:rPr>
        <w:t>rilla</w:t>
      </w:r>
      <w:proofErr w:type="spellEnd"/>
      <w:r w:rsidRPr="004D76BB">
        <w:rPr>
          <w:bCs/>
          <w:color w:val="000000" w:themeColor="text1"/>
        </w:rPr>
        <w:t xml:space="preserve"> statistical tool</w:t>
      </w:r>
      <w:r>
        <w:rPr>
          <w:bCs/>
          <w:color w:val="000000" w:themeColor="text1"/>
        </w:rPr>
        <w:t xml:space="preserve">). Results shown are for biological process. </w:t>
      </w:r>
      <w:r w:rsidRPr="00A04154">
        <w:rPr>
          <w:bCs/>
          <w:color w:val="000000" w:themeColor="text1"/>
        </w:rPr>
        <w:t xml:space="preserve">Only GO terms with </w:t>
      </w:r>
      <w:r>
        <w:rPr>
          <w:bCs/>
          <w:color w:val="000000" w:themeColor="text1"/>
        </w:rPr>
        <w:t>p-value &lt;1.0e-07 were included</w:t>
      </w:r>
      <w:r w:rsidRPr="00A04154">
        <w:rPr>
          <w:bCs/>
          <w:color w:val="000000" w:themeColor="text1"/>
        </w:rPr>
        <w:t xml:space="preserve"> </w:t>
      </w:r>
      <w:r>
        <w:rPr>
          <w:bCs/>
          <w:color w:val="000000" w:themeColor="text1"/>
        </w:rPr>
        <w:t>in the analysis</w:t>
      </w:r>
      <w:r w:rsidRPr="00A04154">
        <w:rPr>
          <w:bCs/>
          <w:color w:val="000000" w:themeColor="text1"/>
        </w:rPr>
        <w:t>.</w:t>
      </w:r>
      <w:r>
        <w:rPr>
          <w:bCs/>
          <w:color w:val="000000" w:themeColor="text1"/>
        </w:rPr>
        <w:t xml:space="preserve"> The color scale (white to red) with the associated range of p-values is shown (Top).</w:t>
      </w:r>
    </w:p>
    <w:p w14:paraId="6014ED7A" w14:textId="782E0353" w:rsidR="0020275A" w:rsidRPr="0020275A" w:rsidRDefault="00A77628" w:rsidP="0020275A">
      <w:pPr>
        <w:spacing w:after="160" w:line="259" w:lineRule="auto"/>
        <w:rPr>
          <w:b/>
          <w:color w:val="FF0000"/>
        </w:rPr>
      </w:pPr>
      <w:r>
        <w:rPr>
          <w:b/>
          <w:color w:val="FF0000"/>
        </w:rPr>
        <w:br w:type="page"/>
      </w:r>
    </w:p>
    <w:p w14:paraId="4CCC6EEF" w14:textId="1A3C4CD1" w:rsidR="0020275A" w:rsidRDefault="0020275A" w:rsidP="0020275A">
      <w:pPr>
        <w:jc w:val="center"/>
        <w:rPr>
          <w:color w:val="0E101A"/>
        </w:rPr>
      </w:pPr>
      <w:r w:rsidRPr="0020275A">
        <w:rPr>
          <w:noProof/>
          <w:color w:val="0E101A"/>
        </w:rPr>
        <w:lastRenderedPageBreak/>
        <w:drawing>
          <wp:inline distT="0" distB="0" distL="0" distR="0" wp14:anchorId="165B9B09" wp14:editId="4CD88E54">
            <wp:extent cx="5080000" cy="6375283"/>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83992" cy="6380293"/>
                    </a:xfrm>
                    <a:prstGeom prst="rect">
                      <a:avLst/>
                    </a:prstGeom>
                  </pic:spPr>
                </pic:pic>
              </a:graphicData>
            </a:graphic>
          </wp:inline>
        </w:drawing>
      </w:r>
    </w:p>
    <w:p w14:paraId="3848C5E3" w14:textId="77777777" w:rsidR="00A77628" w:rsidRPr="00F3547F" w:rsidRDefault="00A77628" w:rsidP="00A77628">
      <w:pPr>
        <w:spacing w:after="120"/>
        <w:jc w:val="both"/>
        <w:rPr>
          <w:b/>
          <w:color w:val="FF0000"/>
        </w:rPr>
      </w:pPr>
    </w:p>
    <w:p w14:paraId="5ADC5DFE" w14:textId="77777777" w:rsidR="00A77628" w:rsidRDefault="00A77628" w:rsidP="00A77628"/>
    <w:p w14:paraId="2D9C7C02" w14:textId="1DE48742" w:rsidR="0020275A" w:rsidRDefault="0020275A" w:rsidP="0020275A">
      <w:pPr>
        <w:jc w:val="both"/>
        <w:rPr>
          <w:color w:val="0E101A"/>
        </w:rPr>
      </w:pPr>
      <w:r w:rsidRPr="0019304A">
        <w:rPr>
          <w:b/>
          <w:bCs/>
          <w:color w:val="000000" w:themeColor="text1"/>
        </w:rPr>
        <w:t xml:space="preserve">Figure </w:t>
      </w:r>
      <w:r>
        <w:rPr>
          <w:b/>
          <w:bCs/>
          <w:color w:val="000000" w:themeColor="text1"/>
        </w:rPr>
        <w:t>S</w:t>
      </w:r>
      <w:r w:rsidR="003F50C4">
        <w:rPr>
          <w:b/>
          <w:bCs/>
          <w:color w:val="000000" w:themeColor="text1"/>
        </w:rPr>
        <w:t xml:space="preserve">6. </w:t>
      </w:r>
      <w:r>
        <w:rPr>
          <w:color w:val="000000" w:themeColor="text1"/>
        </w:rPr>
        <w:t xml:space="preserve"> DE gene pattern on the KEGG pathway map of TNF signaling. The top panel indicates the genes participating in the TNF signaling. </w:t>
      </w:r>
      <w:r w:rsidR="00F4481B">
        <w:rPr>
          <w:color w:val="000000" w:themeColor="text1"/>
        </w:rPr>
        <w:t xml:space="preserve">Microglia culture exposed to </w:t>
      </w:r>
      <w:proofErr w:type="spellStart"/>
      <w:r w:rsidR="00F4481B">
        <w:rPr>
          <w:color w:val="000000" w:themeColor="text1"/>
        </w:rPr>
        <w:t>bzATP</w:t>
      </w:r>
      <w:proofErr w:type="spellEnd"/>
      <w:r w:rsidR="00F4481B">
        <w:rPr>
          <w:color w:val="000000" w:themeColor="text1"/>
        </w:rPr>
        <w:t xml:space="preserve">/LPS (8 </w:t>
      </w:r>
      <w:proofErr w:type="spellStart"/>
      <w:r w:rsidR="00F4481B">
        <w:rPr>
          <w:color w:val="000000" w:themeColor="text1"/>
        </w:rPr>
        <w:t>hrs</w:t>
      </w:r>
      <w:proofErr w:type="spellEnd"/>
      <w:r w:rsidR="00F4481B">
        <w:rPr>
          <w:color w:val="000000" w:themeColor="text1"/>
        </w:rPr>
        <w:t xml:space="preserve">, Top), and </w:t>
      </w:r>
      <w:proofErr w:type="spellStart"/>
      <w:r w:rsidR="00F4481B">
        <w:rPr>
          <w:color w:val="0E101A"/>
        </w:rPr>
        <w:t>LPS+</w:t>
      </w:r>
      <w:r w:rsidR="00F4481B" w:rsidRPr="00EA5BFB">
        <w:rPr>
          <w:color w:val="0E101A"/>
        </w:rPr>
        <w:t>IFNγ</w:t>
      </w:r>
      <w:proofErr w:type="spellEnd"/>
      <w:r w:rsidR="00F4481B">
        <w:rPr>
          <w:color w:val="0E101A"/>
        </w:rPr>
        <w:t xml:space="preserve"> for 6 </w:t>
      </w:r>
      <w:proofErr w:type="spellStart"/>
      <w:r w:rsidR="00F4481B">
        <w:rPr>
          <w:color w:val="0E101A"/>
        </w:rPr>
        <w:t>hrs</w:t>
      </w:r>
      <w:proofErr w:type="spellEnd"/>
      <w:r w:rsidR="00F4481B">
        <w:rPr>
          <w:color w:val="0E101A"/>
        </w:rPr>
        <w:t xml:space="preserve"> (Bottom) are shown. </w:t>
      </w:r>
      <w:r w:rsidR="00F4481B">
        <w:rPr>
          <w:color w:val="000000" w:themeColor="text1"/>
        </w:rPr>
        <w:t xml:space="preserve">The genes are colored according to </w:t>
      </w:r>
      <w:r w:rsidR="00F4481B">
        <w:rPr>
          <w:color w:val="0E101A"/>
        </w:rPr>
        <w:t xml:space="preserve">by their expression trends. The colors indicate genes that are </w:t>
      </w:r>
      <w:r w:rsidR="00F4481B">
        <w:rPr>
          <w:color w:val="000000" w:themeColor="text1"/>
        </w:rPr>
        <w:t xml:space="preserve">downregulated (green), upregulated (red), unchanged (gray), and undetected (white) </w:t>
      </w:r>
      <w:r w:rsidR="00F4481B">
        <w:rPr>
          <w:color w:val="0E101A"/>
        </w:rPr>
        <w:t xml:space="preserve">with respect to the expression in untreated culture. </w:t>
      </w:r>
      <w:r w:rsidRPr="0020275A">
        <w:rPr>
          <w:color w:val="000000" w:themeColor="text1"/>
        </w:rPr>
        <w:t>Selected genes for which expression trends between the two setti</w:t>
      </w:r>
      <w:r>
        <w:rPr>
          <w:color w:val="000000" w:themeColor="text1"/>
        </w:rPr>
        <w:t>ngs of microglia activation sub</w:t>
      </w:r>
      <w:r w:rsidRPr="0020275A">
        <w:rPr>
          <w:color w:val="000000" w:themeColor="text1"/>
        </w:rPr>
        <w:t>stantially differ are marked with yellow arrows.</w:t>
      </w:r>
    </w:p>
    <w:p w14:paraId="24EF72E2" w14:textId="77777777" w:rsidR="0020275A" w:rsidRDefault="0020275A" w:rsidP="0020275A">
      <w:pPr>
        <w:jc w:val="both"/>
        <w:rPr>
          <w:b/>
          <w:bCs/>
          <w:color w:val="000000" w:themeColor="text1"/>
        </w:rPr>
      </w:pPr>
    </w:p>
    <w:p w14:paraId="111705C5" w14:textId="70499F6F" w:rsidR="0020275A" w:rsidRDefault="00C7776A" w:rsidP="00C7776A">
      <w:pPr>
        <w:jc w:val="center"/>
        <w:rPr>
          <w:b/>
          <w:bCs/>
          <w:color w:val="000000" w:themeColor="text1"/>
        </w:rPr>
      </w:pPr>
      <w:r w:rsidRPr="00F4481B">
        <w:rPr>
          <w:b/>
          <w:bCs/>
          <w:noProof/>
          <w:color w:val="000000" w:themeColor="text1"/>
        </w:rPr>
        <w:drawing>
          <wp:inline distT="0" distB="0" distL="0" distR="0" wp14:anchorId="537665D3" wp14:editId="39000373">
            <wp:extent cx="3930316" cy="6728784"/>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91604" cy="6833710"/>
                    </a:xfrm>
                    <a:prstGeom prst="rect">
                      <a:avLst/>
                    </a:prstGeom>
                  </pic:spPr>
                </pic:pic>
              </a:graphicData>
            </a:graphic>
          </wp:inline>
        </w:drawing>
      </w:r>
    </w:p>
    <w:p w14:paraId="0A65431C" w14:textId="77777777" w:rsidR="00C7776A" w:rsidRDefault="00C7776A" w:rsidP="00C7776A">
      <w:pPr>
        <w:jc w:val="both"/>
        <w:rPr>
          <w:b/>
          <w:bCs/>
          <w:color w:val="000000" w:themeColor="text1"/>
        </w:rPr>
      </w:pPr>
    </w:p>
    <w:p w14:paraId="4E718734" w14:textId="397CF8E5" w:rsidR="00183013" w:rsidRPr="00C7776A" w:rsidRDefault="0020275A" w:rsidP="00C7776A">
      <w:pPr>
        <w:jc w:val="both"/>
        <w:rPr>
          <w:color w:val="0E101A"/>
        </w:rPr>
      </w:pPr>
      <w:r w:rsidRPr="0019304A">
        <w:rPr>
          <w:b/>
          <w:bCs/>
          <w:color w:val="000000" w:themeColor="text1"/>
        </w:rPr>
        <w:t xml:space="preserve">Figure </w:t>
      </w:r>
      <w:r>
        <w:rPr>
          <w:b/>
          <w:bCs/>
          <w:color w:val="000000" w:themeColor="text1"/>
        </w:rPr>
        <w:t>S</w:t>
      </w:r>
      <w:r w:rsidR="003F50C4">
        <w:rPr>
          <w:b/>
          <w:bCs/>
          <w:color w:val="000000" w:themeColor="text1"/>
        </w:rPr>
        <w:t>7.</w:t>
      </w:r>
      <w:r>
        <w:rPr>
          <w:color w:val="000000" w:themeColor="text1"/>
        </w:rPr>
        <w:t xml:space="preserve"> DE gene pattern on the KEGG pathway map of NF-</w:t>
      </w:r>
      <w:r w:rsidRPr="006658E9">
        <w:rPr>
          <w:rFonts w:ascii="Symbol" w:hAnsi="Symbol"/>
          <w:color w:val="000000" w:themeColor="text1"/>
        </w:rPr>
        <w:t></w:t>
      </w:r>
      <w:r>
        <w:rPr>
          <w:color w:val="000000" w:themeColor="text1"/>
        </w:rPr>
        <w:t xml:space="preserve">B signaling. The top panel indicates the genes participating in the </w:t>
      </w:r>
      <w:r w:rsidR="00F4481B">
        <w:rPr>
          <w:color w:val="000000" w:themeColor="text1"/>
        </w:rPr>
        <w:t>NF-</w:t>
      </w:r>
      <w:r w:rsidR="00F4481B" w:rsidRPr="006658E9">
        <w:rPr>
          <w:rFonts w:ascii="Symbol" w:hAnsi="Symbol"/>
          <w:color w:val="000000" w:themeColor="text1"/>
        </w:rPr>
        <w:t></w:t>
      </w:r>
      <w:r w:rsidR="00F4481B">
        <w:rPr>
          <w:color w:val="000000" w:themeColor="text1"/>
        </w:rPr>
        <w:t xml:space="preserve">B </w:t>
      </w:r>
      <w:r>
        <w:rPr>
          <w:color w:val="000000" w:themeColor="text1"/>
        </w:rPr>
        <w:t xml:space="preserve">signaling. Microglia culture exposed to </w:t>
      </w:r>
      <w:proofErr w:type="spellStart"/>
      <w:r>
        <w:rPr>
          <w:color w:val="000000" w:themeColor="text1"/>
        </w:rPr>
        <w:t>bzATP</w:t>
      </w:r>
      <w:proofErr w:type="spellEnd"/>
      <w:r>
        <w:rPr>
          <w:color w:val="000000" w:themeColor="text1"/>
        </w:rPr>
        <w:t xml:space="preserve">/LPS (8 </w:t>
      </w:r>
      <w:proofErr w:type="spellStart"/>
      <w:r>
        <w:rPr>
          <w:color w:val="000000" w:themeColor="text1"/>
        </w:rPr>
        <w:t>hrs</w:t>
      </w:r>
      <w:proofErr w:type="spellEnd"/>
      <w:r>
        <w:rPr>
          <w:color w:val="000000" w:themeColor="text1"/>
        </w:rPr>
        <w:t xml:space="preserve">, Top), and </w:t>
      </w:r>
      <w:proofErr w:type="spellStart"/>
      <w:r>
        <w:rPr>
          <w:color w:val="0E101A"/>
        </w:rPr>
        <w:t>LPS+</w:t>
      </w:r>
      <w:r w:rsidRPr="00EA5BFB">
        <w:rPr>
          <w:color w:val="0E101A"/>
        </w:rPr>
        <w:t>IFNγ</w:t>
      </w:r>
      <w:proofErr w:type="spellEnd"/>
      <w:r>
        <w:rPr>
          <w:color w:val="0E101A"/>
        </w:rPr>
        <w:t xml:space="preserve"> for 6 </w:t>
      </w:r>
      <w:proofErr w:type="spellStart"/>
      <w:r>
        <w:rPr>
          <w:color w:val="0E101A"/>
        </w:rPr>
        <w:t>hrs</w:t>
      </w:r>
      <w:proofErr w:type="spellEnd"/>
      <w:r>
        <w:rPr>
          <w:color w:val="0E101A"/>
        </w:rPr>
        <w:t xml:space="preserve"> (Bottom) are shown. </w:t>
      </w:r>
      <w:r>
        <w:rPr>
          <w:color w:val="000000" w:themeColor="text1"/>
        </w:rPr>
        <w:t xml:space="preserve">The </w:t>
      </w:r>
      <w:r w:rsidR="00F4481B">
        <w:rPr>
          <w:color w:val="000000" w:themeColor="text1"/>
        </w:rPr>
        <w:t xml:space="preserve">genes are colored according to </w:t>
      </w:r>
      <w:r w:rsidR="00F4481B">
        <w:rPr>
          <w:color w:val="0E101A"/>
        </w:rPr>
        <w:t xml:space="preserve">by their expression trends. The colors indicate genes that are </w:t>
      </w:r>
      <w:r>
        <w:rPr>
          <w:color w:val="000000" w:themeColor="text1"/>
        </w:rPr>
        <w:t>downregulated (green)</w:t>
      </w:r>
      <w:r w:rsidR="00F4481B">
        <w:rPr>
          <w:color w:val="000000" w:themeColor="text1"/>
        </w:rPr>
        <w:t>,</w:t>
      </w:r>
      <w:r>
        <w:rPr>
          <w:color w:val="000000" w:themeColor="text1"/>
        </w:rPr>
        <w:t xml:space="preserve"> upregulated (red), unchanged (gray), and undetected (white)</w:t>
      </w:r>
      <w:r w:rsidR="00F4481B">
        <w:rPr>
          <w:color w:val="000000" w:themeColor="text1"/>
        </w:rPr>
        <w:t xml:space="preserve"> </w:t>
      </w:r>
      <w:r w:rsidR="00F4481B">
        <w:rPr>
          <w:color w:val="0E101A"/>
        </w:rPr>
        <w:t>with respect to the expression in untreated culture.</w:t>
      </w:r>
      <w:r>
        <w:rPr>
          <w:color w:val="0E101A"/>
        </w:rPr>
        <w:t xml:space="preserve">  </w:t>
      </w:r>
    </w:p>
    <w:sectPr w:rsidR="00183013" w:rsidRPr="00C7776A">
      <w:footerReference w:type="even" r:id="rId14"/>
      <w:footerReference w:type="default" r:id="rId15"/>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9AEE22" w14:textId="77777777" w:rsidR="004B2254" w:rsidRDefault="004B2254">
      <w:r>
        <w:separator/>
      </w:r>
    </w:p>
  </w:endnote>
  <w:endnote w:type="continuationSeparator" w:id="0">
    <w:p w14:paraId="488CC0BC" w14:textId="77777777" w:rsidR="004B2254" w:rsidRDefault="004B2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442696480"/>
      <w:docPartObj>
        <w:docPartGallery w:val="Page Numbers (Bottom of Page)"/>
        <w:docPartUnique/>
      </w:docPartObj>
    </w:sdtPr>
    <w:sdtEndPr>
      <w:rPr>
        <w:rStyle w:val="PageNumber"/>
      </w:rPr>
    </w:sdtEndPr>
    <w:sdtContent>
      <w:p w14:paraId="37EF87D5" w14:textId="77777777" w:rsidR="00175261" w:rsidRDefault="00A77628" w:rsidP="003D7CF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B3ABC22" w14:textId="77777777" w:rsidR="00175261" w:rsidRDefault="004B2254" w:rsidP="009A138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83664239"/>
      <w:docPartObj>
        <w:docPartGallery w:val="Page Numbers (Bottom of Page)"/>
        <w:docPartUnique/>
      </w:docPartObj>
    </w:sdtPr>
    <w:sdtEndPr>
      <w:rPr>
        <w:rStyle w:val="PageNumber"/>
      </w:rPr>
    </w:sdtEndPr>
    <w:sdtContent>
      <w:p w14:paraId="02CC864C" w14:textId="77777777" w:rsidR="00175261" w:rsidRDefault="00A77628" w:rsidP="003D7CF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B48D617" w14:textId="77777777" w:rsidR="00175261" w:rsidRDefault="004B2254" w:rsidP="009A138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6510B7" w14:textId="77777777" w:rsidR="004B2254" w:rsidRDefault="004B2254">
      <w:r>
        <w:separator/>
      </w:r>
    </w:p>
  </w:footnote>
  <w:footnote w:type="continuationSeparator" w:id="0">
    <w:p w14:paraId="5820B4D2" w14:textId="77777777" w:rsidR="004B2254" w:rsidRDefault="004B22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87057C5"/>
    <w:multiLevelType w:val="hybridMultilevel"/>
    <w:tmpl w:val="DC122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7628"/>
    <w:rsid w:val="000007F2"/>
    <w:rsid w:val="000465EC"/>
    <w:rsid w:val="000826C1"/>
    <w:rsid w:val="00123F2E"/>
    <w:rsid w:val="00183013"/>
    <w:rsid w:val="001E5A0D"/>
    <w:rsid w:val="0020275A"/>
    <w:rsid w:val="002054B5"/>
    <w:rsid w:val="00235519"/>
    <w:rsid w:val="003149B1"/>
    <w:rsid w:val="003F50C4"/>
    <w:rsid w:val="004B2254"/>
    <w:rsid w:val="0052733B"/>
    <w:rsid w:val="00551F6E"/>
    <w:rsid w:val="00566516"/>
    <w:rsid w:val="005B0C19"/>
    <w:rsid w:val="005B67F5"/>
    <w:rsid w:val="005D0D1E"/>
    <w:rsid w:val="00601110"/>
    <w:rsid w:val="00605253"/>
    <w:rsid w:val="006A764B"/>
    <w:rsid w:val="007016AA"/>
    <w:rsid w:val="007B24B9"/>
    <w:rsid w:val="007E7B61"/>
    <w:rsid w:val="007F18DA"/>
    <w:rsid w:val="00845099"/>
    <w:rsid w:val="008D1155"/>
    <w:rsid w:val="00952643"/>
    <w:rsid w:val="009F5A05"/>
    <w:rsid w:val="00A77628"/>
    <w:rsid w:val="00B12C51"/>
    <w:rsid w:val="00B63BA0"/>
    <w:rsid w:val="00C7776A"/>
    <w:rsid w:val="00CC125D"/>
    <w:rsid w:val="00CF5006"/>
    <w:rsid w:val="00D40761"/>
    <w:rsid w:val="00D45695"/>
    <w:rsid w:val="00E15AF1"/>
    <w:rsid w:val="00E23E91"/>
    <w:rsid w:val="00E963A1"/>
    <w:rsid w:val="00EC215E"/>
    <w:rsid w:val="00EF5432"/>
    <w:rsid w:val="00F03834"/>
    <w:rsid w:val="00F41836"/>
    <w:rsid w:val="00F4481B"/>
    <w:rsid w:val="00FB259E"/>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8AA65"/>
  <w15:chartTrackingRefBased/>
  <w15:docId w15:val="{E0F2C081-B089-8F46-8096-3C589BAA6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he-IL"/>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7628"/>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A77628"/>
    <w:pPr>
      <w:tabs>
        <w:tab w:val="center" w:pos="4680"/>
        <w:tab w:val="right" w:pos="9360"/>
      </w:tabs>
    </w:pPr>
    <w:rPr>
      <w:rFonts w:ascii="Calibri" w:eastAsia="Calibri" w:hAnsi="Calibri" w:cs="Calibri"/>
      <w:sz w:val="22"/>
      <w:szCs w:val="22"/>
    </w:rPr>
  </w:style>
  <w:style w:type="character" w:customStyle="1" w:styleId="FooterChar">
    <w:name w:val="Footer Char"/>
    <w:basedOn w:val="DefaultParagraphFont"/>
    <w:link w:val="Footer"/>
    <w:uiPriority w:val="99"/>
    <w:rsid w:val="00A77628"/>
    <w:rPr>
      <w:rFonts w:ascii="Calibri" w:eastAsia="Calibri" w:hAnsi="Calibri" w:cs="Calibri"/>
      <w:sz w:val="22"/>
      <w:szCs w:val="22"/>
    </w:rPr>
  </w:style>
  <w:style w:type="paragraph" w:styleId="ListParagraph">
    <w:name w:val="List Paragraph"/>
    <w:basedOn w:val="Normal"/>
    <w:uiPriority w:val="34"/>
    <w:qFormat/>
    <w:rsid w:val="00A77628"/>
    <w:pPr>
      <w:ind w:left="720"/>
      <w:contextualSpacing/>
    </w:pPr>
  </w:style>
  <w:style w:type="character" w:styleId="PageNumber">
    <w:name w:val="page number"/>
    <w:basedOn w:val="DefaultParagraphFont"/>
    <w:uiPriority w:val="99"/>
    <w:semiHidden/>
    <w:unhideWhenUsed/>
    <w:rsid w:val="00A77628"/>
  </w:style>
  <w:style w:type="paragraph" w:styleId="NormalWeb">
    <w:name w:val="Normal (Web)"/>
    <w:basedOn w:val="Normal"/>
    <w:uiPriority w:val="99"/>
    <w:semiHidden/>
    <w:unhideWhenUsed/>
    <w:rsid w:val="0020275A"/>
    <w:pPr>
      <w:spacing w:before="100" w:beforeAutospacing="1" w:after="100" w:afterAutospacing="1"/>
    </w:pPr>
    <w:rPr>
      <w:rFonts w:eastAsiaTheme="minorEastAsia"/>
    </w:rPr>
  </w:style>
  <w:style w:type="paragraph" w:customStyle="1" w:styleId="MDPI12title">
    <w:name w:val="MDPI_1.2_title"/>
    <w:next w:val="Normal"/>
    <w:qFormat/>
    <w:rsid w:val="00C7776A"/>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4451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tiff"/><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tif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8</Pages>
  <Words>708</Words>
  <Characters>4042</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2</cp:revision>
  <dcterms:created xsi:type="dcterms:W3CDTF">2022-02-14T14:53:00Z</dcterms:created>
  <dcterms:modified xsi:type="dcterms:W3CDTF">2022-02-14T14:53:00Z</dcterms:modified>
</cp:coreProperties>
</file>